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15E0" w14:textId="77777777" w:rsidR="001E18AD" w:rsidRDefault="00EE0C4B" w:rsidP="00EE0C4B">
      <w:pPr>
        <w:jc w:val="center"/>
      </w:pPr>
      <w:r>
        <w:rPr>
          <w:noProof/>
          <w:lang w:eastAsia="en-IE"/>
        </w:rPr>
        <w:drawing>
          <wp:inline distT="0" distB="0" distL="0" distR="0" wp14:anchorId="2066FB12" wp14:editId="1245B620">
            <wp:extent cx="4039849" cy="67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637" cy="686085"/>
                    </a:xfrm>
                    <a:prstGeom prst="rect">
                      <a:avLst/>
                    </a:prstGeom>
                  </pic:spPr>
                </pic:pic>
              </a:graphicData>
            </a:graphic>
          </wp:inline>
        </w:drawing>
      </w:r>
    </w:p>
    <w:p w14:paraId="15920AB8" w14:textId="77777777" w:rsidR="00EE0C4B" w:rsidRPr="00A3753E" w:rsidRDefault="00EE0C4B" w:rsidP="001E18AD">
      <w:pPr>
        <w:rPr>
          <w:sz w:val="6"/>
          <w:szCs w:val="8"/>
        </w:rPr>
      </w:pPr>
    </w:p>
    <w:p w14:paraId="1EB1EE3E" w14:textId="1639466C" w:rsidR="00EE0C4B" w:rsidRPr="00EE0C4B" w:rsidRDefault="00040467" w:rsidP="00EE0C4B">
      <w:pPr>
        <w:jc w:val="center"/>
        <w:rPr>
          <w:color w:val="4D4D4F"/>
          <w:sz w:val="32"/>
        </w:rPr>
      </w:pPr>
      <w:r>
        <w:rPr>
          <w:b/>
          <w:color w:val="4D4D4F"/>
          <w:sz w:val="36"/>
        </w:rPr>
        <w:t>Lankill N.S.</w:t>
      </w:r>
      <w:r w:rsidR="00CD20F9">
        <w:rPr>
          <w:b/>
          <w:color w:val="4D4D4F"/>
          <w:sz w:val="36"/>
        </w:rPr>
        <w:t xml:space="preserve"> </w:t>
      </w:r>
      <w:r w:rsidR="00EE0C4B" w:rsidRPr="00EE0C4B">
        <w:rPr>
          <w:b/>
          <w:color w:val="4D4D4F"/>
          <w:sz w:val="36"/>
        </w:rPr>
        <w:t>Statement of Strategy for School Attendance</w:t>
      </w:r>
    </w:p>
    <w:p w14:paraId="2B0D793F" w14:textId="77777777" w:rsidR="00EE0C4B" w:rsidRPr="00A3753E" w:rsidRDefault="00EE0C4B" w:rsidP="001E18AD">
      <w:pPr>
        <w:rPr>
          <w:sz w:val="11"/>
          <w:szCs w:val="13"/>
        </w:rPr>
      </w:pPr>
    </w:p>
    <w:tbl>
      <w:tblPr>
        <w:tblStyle w:val="TableGrid"/>
        <w:tblW w:w="0" w:type="auto"/>
        <w:tblInd w:w="108" w:type="dxa"/>
        <w:tblLayout w:type="fixed"/>
        <w:tblLook w:val="04A0" w:firstRow="1" w:lastRow="0" w:firstColumn="1" w:lastColumn="0" w:noHBand="0" w:noVBand="1"/>
      </w:tblPr>
      <w:tblGrid>
        <w:gridCol w:w="3690"/>
        <w:gridCol w:w="6187"/>
        <w:gridCol w:w="46"/>
      </w:tblGrid>
      <w:tr w:rsidR="001E18AD" w14:paraId="32EE6DCB" w14:textId="77777777" w:rsidTr="00DA667E">
        <w:tc>
          <w:tcPr>
            <w:tcW w:w="3690" w:type="dxa"/>
            <w:shd w:val="clear" w:color="auto" w:fill="DBE5F1" w:themeFill="accent1" w:themeFillTint="33"/>
          </w:tcPr>
          <w:p w14:paraId="3EF12C9F" w14:textId="77777777" w:rsidR="001E18AD" w:rsidRDefault="001E18AD" w:rsidP="00C77F36">
            <w:pPr>
              <w:spacing w:after="120"/>
            </w:pPr>
            <w:r>
              <w:t>Name of school</w:t>
            </w:r>
          </w:p>
        </w:tc>
        <w:tc>
          <w:tcPr>
            <w:tcW w:w="6233" w:type="dxa"/>
            <w:gridSpan w:val="2"/>
          </w:tcPr>
          <w:p w14:paraId="45499538" w14:textId="77777777" w:rsidR="001E18AD" w:rsidRDefault="00A84DAF" w:rsidP="00C77F36">
            <w:r>
              <w:t>Lankill NS</w:t>
            </w:r>
          </w:p>
        </w:tc>
      </w:tr>
      <w:tr w:rsidR="001E18AD" w14:paraId="3A0FE70F" w14:textId="77777777" w:rsidTr="002B4FA9">
        <w:trPr>
          <w:gridAfter w:val="1"/>
          <w:wAfter w:w="46" w:type="dxa"/>
        </w:trPr>
        <w:tc>
          <w:tcPr>
            <w:tcW w:w="3690" w:type="dxa"/>
            <w:shd w:val="clear" w:color="auto" w:fill="DBE5F1" w:themeFill="accent1" w:themeFillTint="33"/>
          </w:tcPr>
          <w:p w14:paraId="7FF6E686" w14:textId="77777777" w:rsidR="001E18AD" w:rsidRDefault="001E18AD" w:rsidP="00C77F36">
            <w:pPr>
              <w:spacing w:after="120"/>
            </w:pPr>
            <w:r>
              <w:t>Address</w:t>
            </w:r>
          </w:p>
        </w:tc>
        <w:tc>
          <w:tcPr>
            <w:tcW w:w="6187" w:type="dxa"/>
          </w:tcPr>
          <w:p w14:paraId="3DF6A475" w14:textId="77777777" w:rsidR="001E18AD" w:rsidRDefault="00A84DAF" w:rsidP="00C77F36">
            <w:r>
              <w:t>Lankill, Westport, Co. Mayo</w:t>
            </w:r>
          </w:p>
        </w:tc>
      </w:tr>
      <w:tr w:rsidR="001E18AD" w14:paraId="7AA9E1F4" w14:textId="77777777" w:rsidTr="00DA667E">
        <w:tc>
          <w:tcPr>
            <w:tcW w:w="3690" w:type="dxa"/>
            <w:shd w:val="clear" w:color="auto" w:fill="DBE5F1" w:themeFill="accent1" w:themeFillTint="33"/>
          </w:tcPr>
          <w:p w14:paraId="0F1FFA07" w14:textId="77777777" w:rsidR="001E18AD" w:rsidRDefault="001E18AD" w:rsidP="00C77F36">
            <w:pPr>
              <w:spacing w:after="120"/>
            </w:pPr>
            <w:r>
              <w:t>Roll Number</w:t>
            </w:r>
          </w:p>
        </w:tc>
        <w:tc>
          <w:tcPr>
            <w:tcW w:w="6233" w:type="dxa"/>
            <w:gridSpan w:val="2"/>
          </w:tcPr>
          <w:p w14:paraId="58C78E45" w14:textId="77777777" w:rsidR="001E18AD" w:rsidRDefault="00A84DAF" w:rsidP="00C77F36">
            <w:r>
              <w:t>16904K</w:t>
            </w:r>
          </w:p>
        </w:tc>
      </w:tr>
      <w:tr w:rsidR="001E18AD" w14:paraId="56BB5733" w14:textId="77777777" w:rsidTr="00DA667E">
        <w:tc>
          <w:tcPr>
            <w:tcW w:w="3690" w:type="dxa"/>
            <w:shd w:val="clear" w:color="auto" w:fill="DBE5F1" w:themeFill="accent1" w:themeFillTint="33"/>
          </w:tcPr>
          <w:p w14:paraId="624E3544" w14:textId="77777777" w:rsidR="001E18AD" w:rsidRDefault="001E18AD" w:rsidP="00C77F36">
            <w:pPr>
              <w:spacing w:after="120"/>
            </w:pPr>
            <w:r>
              <w:rPr>
                <w:rFonts w:cs="Calibri"/>
              </w:rPr>
              <w:t>The school’s vision and values in relation to attendance</w:t>
            </w:r>
          </w:p>
        </w:tc>
        <w:tc>
          <w:tcPr>
            <w:tcW w:w="6233" w:type="dxa"/>
            <w:gridSpan w:val="2"/>
          </w:tcPr>
          <w:p w14:paraId="6D5E53A2" w14:textId="1FBFDE29" w:rsidR="001E18AD" w:rsidRDefault="00325D80" w:rsidP="00325D80">
            <w:r>
              <w:t xml:space="preserve">In </w:t>
            </w:r>
            <w:r w:rsidR="00040467">
              <w:t xml:space="preserve">Lankill N.S. </w:t>
            </w:r>
            <w:r>
              <w:t xml:space="preserve">we recognize the importance of school attendance. We endeavour to </w:t>
            </w:r>
            <w:r w:rsidR="00EF5989">
              <w:t>provide a</w:t>
            </w:r>
            <w:r>
              <w:t xml:space="preserve"> supportive, positive and welcoming school environment where the needs of every individual child are met. </w:t>
            </w:r>
          </w:p>
        </w:tc>
      </w:tr>
      <w:tr w:rsidR="001E18AD" w14:paraId="41FC97F6" w14:textId="77777777" w:rsidTr="00DA667E">
        <w:tc>
          <w:tcPr>
            <w:tcW w:w="3690" w:type="dxa"/>
            <w:shd w:val="clear" w:color="auto" w:fill="DBE5F1" w:themeFill="accent1" w:themeFillTint="33"/>
          </w:tcPr>
          <w:p w14:paraId="6C0D285A" w14:textId="77777777" w:rsidR="001E18AD" w:rsidRDefault="001E18AD" w:rsidP="00C77F36">
            <w:pPr>
              <w:spacing w:after="120"/>
              <w:rPr>
                <w:rFonts w:cs="Calibri"/>
              </w:rPr>
            </w:pPr>
            <w:r>
              <w:rPr>
                <w:rFonts w:cs="Calibri"/>
              </w:rPr>
              <w:t>The school’s high expectations around attendance</w:t>
            </w:r>
          </w:p>
        </w:tc>
        <w:tc>
          <w:tcPr>
            <w:tcW w:w="6233" w:type="dxa"/>
            <w:gridSpan w:val="2"/>
          </w:tcPr>
          <w:p w14:paraId="4FD1E2F4" w14:textId="77777777" w:rsidR="001E18AD" w:rsidRDefault="00344BEC" w:rsidP="00C77F36">
            <w:r>
              <w:t>The school expects that in so far as is possible that all pupils fully attend school. Children who are unwell are not expected to attend school.</w:t>
            </w:r>
          </w:p>
        </w:tc>
      </w:tr>
      <w:tr w:rsidR="001E18AD" w14:paraId="2904B00E" w14:textId="77777777" w:rsidTr="00DA667E">
        <w:tc>
          <w:tcPr>
            <w:tcW w:w="3690" w:type="dxa"/>
            <w:shd w:val="clear" w:color="auto" w:fill="DBE5F1" w:themeFill="accent1" w:themeFillTint="33"/>
          </w:tcPr>
          <w:p w14:paraId="125E92BC" w14:textId="77777777" w:rsidR="001E18AD" w:rsidRDefault="001E18AD" w:rsidP="00C77F36">
            <w:pPr>
              <w:spacing w:after="120"/>
              <w:rPr>
                <w:rFonts w:cs="Calibri"/>
              </w:rPr>
            </w:pPr>
            <w:r>
              <w:rPr>
                <w:rFonts w:cs="Calibri"/>
              </w:rPr>
              <w:t>How attendance will be monitored</w:t>
            </w:r>
          </w:p>
        </w:tc>
        <w:tc>
          <w:tcPr>
            <w:tcW w:w="6233" w:type="dxa"/>
            <w:gridSpan w:val="2"/>
          </w:tcPr>
          <w:p w14:paraId="512FEC05" w14:textId="6AB32874" w:rsidR="001E18AD" w:rsidRDefault="00344BEC" w:rsidP="00344BEC">
            <w:r>
              <w:t xml:space="preserve">Attendance is monitored daily by a roll call taken by the </w:t>
            </w:r>
            <w:r w:rsidR="00040467">
              <w:t>class teacher</w:t>
            </w:r>
            <w:r>
              <w:t xml:space="preserve"> &amp; recorded </w:t>
            </w:r>
            <w:r w:rsidR="00040467">
              <w:t>on Aladdin</w:t>
            </w:r>
            <w:r>
              <w:t>. Notes are requested from parents explaining why their child was absent from school. These notes are kept in the pupil’s file.</w:t>
            </w:r>
          </w:p>
          <w:p w14:paraId="367E5EB9" w14:textId="77777777" w:rsidR="00344BEC" w:rsidRDefault="00344BEC" w:rsidP="00344BEC">
            <w:r>
              <w:t>Pupils who have been absent from school on 20 occasions are reported to TUSLA and parents.</w:t>
            </w:r>
          </w:p>
        </w:tc>
      </w:tr>
      <w:tr w:rsidR="001E18AD" w14:paraId="541701E7" w14:textId="77777777" w:rsidTr="00DA667E">
        <w:tc>
          <w:tcPr>
            <w:tcW w:w="3690" w:type="dxa"/>
            <w:shd w:val="clear" w:color="auto" w:fill="DBE5F1" w:themeFill="accent1" w:themeFillTint="33"/>
          </w:tcPr>
          <w:p w14:paraId="33E2E28D" w14:textId="77777777" w:rsidR="001E18AD" w:rsidRDefault="001E18AD" w:rsidP="00C77F36">
            <w:pPr>
              <w:spacing w:after="60"/>
              <w:rPr>
                <w:rFonts w:cs="Calibri"/>
              </w:rPr>
            </w:pPr>
            <w:r>
              <w:rPr>
                <w:rFonts w:cs="Calibri"/>
              </w:rPr>
              <w:t>Summary of the main elements of the school’s approach to attendance:</w:t>
            </w:r>
          </w:p>
          <w:p w14:paraId="221A106B" w14:textId="77777777" w:rsidR="001E18AD" w:rsidRDefault="001E18AD" w:rsidP="001E18AD">
            <w:pPr>
              <w:pStyle w:val="ListParagraph"/>
              <w:numPr>
                <w:ilvl w:val="0"/>
                <w:numId w:val="1"/>
              </w:numPr>
              <w:spacing w:after="40"/>
              <w:ind w:left="432" w:hanging="274"/>
              <w:rPr>
                <w:rFonts w:cs="Calibri"/>
              </w:rPr>
            </w:pPr>
            <w:r>
              <w:rPr>
                <w:rFonts w:cs="Calibri"/>
              </w:rPr>
              <w:t>Target setting and targets</w:t>
            </w:r>
          </w:p>
          <w:p w14:paraId="5CF4A080" w14:textId="77777777"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14:paraId="2FBE4137" w14:textId="77777777"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14:paraId="30D8B858" w14:textId="77777777" w:rsidR="001E18AD" w:rsidRDefault="001E18AD" w:rsidP="001E18AD">
            <w:pPr>
              <w:pStyle w:val="ListParagraph"/>
              <w:numPr>
                <w:ilvl w:val="0"/>
                <w:numId w:val="1"/>
              </w:numPr>
              <w:spacing w:after="120"/>
              <w:ind w:left="432" w:hanging="274"/>
              <w:rPr>
                <w:rFonts w:cs="Calibri"/>
              </w:rPr>
            </w:pPr>
            <w:r w:rsidRPr="00C924E4">
              <w:rPr>
                <w:rFonts w:cs="Calibri"/>
              </w:rPr>
              <w:t>Responding to poor attendance</w:t>
            </w:r>
          </w:p>
        </w:tc>
        <w:tc>
          <w:tcPr>
            <w:tcW w:w="6233" w:type="dxa"/>
            <w:gridSpan w:val="2"/>
          </w:tcPr>
          <w:p w14:paraId="0524C7E3" w14:textId="7623E7A4" w:rsidR="001E18AD" w:rsidRDefault="00EF5989" w:rsidP="00C77F36">
            <w:r>
              <w:t xml:space="preserve">In </w:t>
            </w:r>
            <w:r w:rsidR="00040467">
              <w:t xml:space="preserve">Lankill N.S. </w:t>
            </w:r>
            <w:r>
              <w:t>we do not experience difficulties with children’s attendance as a rule.</w:t>
            </w:r>
          </w:p>
          <w:p w14:paraId="6F15009E" w14:textId="77777777" w:rsidR="00327A7C" w:rsidRDefault="00327A7C" w:rsidP="00327A7C">
            <w:pPr>
              <w:suppressAutoHyphens w:val="0"/>
              <w:autoSpaceDE w:val="0"/>
              <w:adjustRightInd w:val="0"/>
              <w:textAlignment w:val="auto"/>
              <w:rPr>
                <w:rFonts w:eastAsiaTheme="minorHAnsi" w:cs="Calibri"/>
                <w:szCs w:val="22"/>
              </w:rPr>
            </w:pPr>
            <w:r>
              <w:rPr>
                <w:rFonts w:eastAsiaTheme="minorHAnsi" w:cs="Calibri"/>
                <w:szCs w:val="22"/>
              </w:rPr>
              <w:t>Any concerns about a child’s attendance are brought</w:t>
            </w:r>
          </w:p>
          <w:p w14:paraId="13C58D3C" w14:textId="77777777" w:rsidR="00327A7C" w:rsidRDefault="00327A7C" w:rsidP="00327A7C">
            <w:pPr>
              <w:suppressAutoHyphens w:val="0"/>
              <w:autoSpaceDE w:val="0"/>
              <w:adjustRightInd w:val="0"/>
              <w:textAlignment w:val="auto"/>
              <w:rPr>
                <w:rFonts w:eastAsiaTheme="minorHAnsi" w:cs="Calibri"/>
                <w:szCs w:val="22"/>
              </w:rPr>
            </w:pPr>
            <w:r>
              <w:rPr>
                <w:rFonts w:eastAsiaTheme="minorHAnsi" w:cs="Calibri"/>
                <w:szCs w:val="22"/>
              </w:rPr>
              <w:t>primarily, to the attention of the parents by the principal and class teacher.  To date, this approach has worked well.</w:t>
            </w:r>
          </w:p>
          <w:p w14:paraId="1CC7F690" w14:textId="77777777" w:rsidR="00327A7C" w:rsidRDefault="00327A7C" w:rsidP="00327A7C">
            <w:pPr>
              <w:suppressAutoHyphens w:val="0"/>
              <w:autoSpaceDE w:val="0"/>
              <w:adjustRightInd w:val="0"/>
              <w:textAlignment w:val="auto"/>
              <w:rPr>
                <w:rFonts w:eastAsiaTheme="minorHAnsi" w:cs="Calibri"/>
                <w:szCs w:val="22"/>
              </w:rPr>
            </w:pPr>
            <w:r>
              <w:rPr>
                <w:rFonts w:eastAsiaTheme="minorHAnsi" w:cs="Calibri"/>
                <w:szCs w:val="22"/>
              </w:rPr>
              <w:t>Good attendance is promoted constantly. Certificates are</w:t>
            </w:r>
          </w:p>
          <w:p w14:paraId="3E4ABBE4" w14:textId="77777777" w:rsidR="00327A7C" w:rsidRPr="00C64C9C" w:rsidRDefault="00327A7C" w:rsidP="00C64C9C">
            <w:pPr>
              <w:suppressAutoHyphens w:val="0"/>
              <w:autoSpaceDE w:val="0"/>
              <w:adjustRightInd w:val="0"/>
              <w:textAlignment w:val="auto"/>
              <w:rPr>
                <w:rFonts w:eastAsiaTheme="minorHAnsi" w:cs="Calibri"/>
                <w:szCs w:val="22"/>
              </w:rPr>
            </w:pPr>
            <w:r>
              <w:rPr>
                <w:rFonts w:eastAsiaTheme="minorHAnsi" w:cs="Calibri"/>
                <w:szCs w:val="22"/>
              </w:rPr>
              <w:t xml:space="preserve">not awarded at the end of the school year to students with good attendance  in consideration of children who may have been absent due to prolonged illness or circumstances beyond their control. </w:t>
            </w:r>
          </w:p>
        </w:tc>
      </w:tr>
      <w:tr w:rsidR="001E18AD" w14:paraId="46BB9980" w14:textId="77777777" w:rsidTr="00DA667E">
        <w:tc>
          <w:tcPr>
            <w:tcW w:w="3690" w:type="dxa"/>
            <w:shd w:val="clear" w:color="auto" w:fill="DBE5F1" w:themeFill="accent1" w:themeFillTint="33"/>
          </w:tcPr>
          <w:p w14:paraId="11B0E039" w14:textId="77777777" w:rsidR="001E18AD" w:rsidRDefault="001E18AD" w:rsidP="00C77F36">
            <w:pPr>
              <w:spacing w:after="120"/>
              <w:rPr>
                <w:rFonts w:cs="Calibri"/>
              </w:rPr>
            </w:pPr>
            <w:r>
              <w:rPr>
                <w:rFonts w:cs="Calibri"/>
              </w:rPr>
              <w:t>School roles in relation to attendance</w:t>
            </w:r>
          </w:p>
        </w:tc>
        <w:tc>
          <w:tcPr>
            <w:tcW w:w="6233" w:type="dxa"/>
            <w:gridSpan w:val="2"/>
          </w:tcPr>
          <w:p w14:paraId="4996B45C" w14:textId="77777777"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Rolls are maintained and monitored by the Principal.</w:t>
            </w:r>
          </w:p>
          <w:p w14:paraId="35921C77" w14:textId="14BBC040"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In the event of the Principal being absent the Deputy</w:t>
            </w:r>
          </w:p>
          <w:p w14:paraId="415AE26A" w14:textId="77777777"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Principal is responsible for maintaining the roll.</w:t>
            </w:r>
          </w:p>
          <w:p w14:paraId="56ACC689" w14:textId="77777777"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The Principal is also responsible for</w:t>
            </w:r>
          </w:p>
          <w:p w14:paraId="3D49614B" w14:textId="77777777"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reporting to TUSLA at the relevant points during the</w:t>
            </w:r>
          </w:p>
          <w:p w14:paraId="432646D3" w14:textId="77777777" w:rsidR="0056380D" w:rsidRDefault="0056380D" w:rsidP="0056380D">
            <w:pPr>
              <w:suppressAutoHyphens w:val="0"/>
              <w:autoSpaceDE w:val="0"/>
              <w:adjustRightInd w:val="0"/>
              <w:textAlignment w:val="auto"/>
              <w:rPr>
                <w:rFonts w:eastAsiaTheme="minorHAnsi" w:cs="Calibri"/>
                <w:szCs w:val="22"/>
              </w:rPr>
            </w:pPr>
            <w:r>
              <w:rPr>
                <w:rFonts w:eastAsiaTheme="minorHAnsi" w:cs="Calibri"/>
                <w:szCs w:val="22"/>
              </w:rPr>
              <w:t>school year and at the end of the school year in the</w:t>
            </w:r>
          </w:p>
          <w:p w14:paraId="2E77D88E" w14:textId="77777777" w:rsidR="001E18AD" w:rsidRDefault="0056380D" w:rsidP="0056380D">
            <w:r>
              <w:rPr>
                <w:rFonts w:eastAsiaTheme="minorHAnsi" w:cs="Calibri"/>
                <w:szCs w:val="22"/>
              </w:rPr>
              <w:t>Annual School Report. These are reported electronically.</w:t>
            </w:r>
          </w:p>
        </w:tc>
      </w:tr>
      <w:tr w:rsidR="001E18AD" w14:paraId="7CF8430D" w14:textId="77777777" w:rsidTr="00DA667E">
        <w:tc>
          <w:tcPr>
            <w:tcW w:w="3690" w:type="dxa"/>
            <w:shd w:val="clear" w:color="auto" w:fill="DBE5F1" w:themeFill="accent1" w:themeFillTint="33"/>
          </w:tcPr>
          <w:p w14:paraId="25FC9C24" w14:textId="77777777" w:rsidR="001E18AD" w:rsidRDefault="001E18AD" w:rsidP="00C77F36">
            <w:pPr>
              <w:spacing w:after="120"/>
              <w:rPr>
                <w:rFonts w:cs="Calibri"/>
              </w:rPr>
            </w:pPr>
            <w:r>
              <w:rPr>
                <w:rFonts w:cs="Calibri"/>
              </w:rPr>
              <w:t>Partnership arrangements (parents, students, other schools, youth and community groups)</w:t>
            </w:r>
          </w:p>
        </w:tc>
        <w:tc>
          <w:tcPr>
            <w:tcW w:w="6233" w:type="dxa"/>
            <w:gridSpan w:val="2"/>
          </w:tcPr>
          <w:p w14:paraId="66FEE658" w14:textId="77777777" w:rsidR="00715F92" w:rsidRDefault="00715F92" w:rsidP="00715F92">
            <w:pPr>
              <w:suppressAutoHyphens w:val="0"/>
              <w:autoSpaceDE w:val="0"/>
              <w:adjustRightInd w:val="0"/>
              <w:textAlignment w:val="auto"/>
              <w:rPr>
                <w:rFonts w:eastAsiaTheme="minorHAnsi" w:cs="Calibri"/>
                <w:szCs w:val="22"/>
              </w:rPr>
            </w:pPr>
            <w:r>
              <w:rPr>
                <w:rFonts w:eastAsiaTheme="minorHAnsi" w:cs="Calibri"/>
                <w:szCs w:val="22"/>
              </w:rPr>
              <w:t>Parents, staff members and the children themselves are</w:t>
            </w:r>
          </w:p>
          <w:p w14:paraId="5BD7B2EE" w14:textId="77777777" w:rsidR="001E18AD" w:rsidRDefault="00715F92" w:rsidP="00715F92">
            <w:r>
              <w:rPr>
                <w:rFonts w:eastAsiaTheme="minorHAnsi" w:cs="Calibri"/>
                <w:szCs w:val="22"/>
              </w:rPr>
              <w:t>encouraged to uphold the school’s Policy on Attendance.</w:t>
            </w:r>
          </w:p>
        </w:tc>
      </w:tr>
      <w:tr w:rsidR="001E18AD" w14:paraId="440289AA" w14:textId="77777777" w:rsidTr="00DA667E">
        <w:tc>
          <w:tcPr>
            <w:tcW w:w="3690" w:type="dxa"/>
            <w:shd w:val="clear" w:color="auto" w:fill="DBE5F1" w:themeFill="accent1" w:themeFillTint="33"/>
          </w:tcPr>
          <w:p w14:paraId="5B314DD2" w14:textId="77777777" w:rsidR="001E18AD" w:rsidRDefault="001E18AD" w:rsidP="00C77F36">
            <w:pPr>
              <w:spacing w:after="120"/>
              <w:rPr>
                <w:rFonts w:cs="Calibri"/>
              </w:rPr>
            </w:pPr>
            <w:r>
              <w:rPr>
                <w:rFonts w:cs="Calibri"/>
              </w:rPr>
              <w:t>How the Statement of Strategy will be monitored</w:t>
            </w:r>
          </w:p>
        </w:tc>
        <w:tc>
          <w:tcPr>
            <w:tcW w:w="6233" w:type="dxa"/>
            <w:gridSpan w:val="2"/>
          </w:tcPr>
          <w:p w14:paraId="0D83541F" w14:textId="77777777" w:rsidR="00715F92" w:rsidRDefault="00715F92" w:rsidP="00715F92">
            <w:pPr>
              <w:suppressAutoHyphens w:val="0"/>
              <w:autoSpaceDE w:val="0"/>
              <w:adjustRightInd w:val="0"/>
              <w:textAlignment w:val="auto"/>
              <w:rPr>
                <w:rFonts w:eastAsiaTheme="minorHAnsi" w:cs="Calibri"/>
                <w:szCs w:val="22"/>
              </w:rPr>
            </w:pPr>
            <w:r>
              <w:rPr>
                <w:rFonts w:eastAsiaTheme="minorHAnsi" w:cs="Calibri"/>
                <w:szCs w:val="22"/>
              </w:rPr>
              <w:t>This statement</w:t>
            </w:r>
            <w:r w:rsidR="00C64C9C">
              <w:rPr>
                <w:rFonts w:eastAsiaTheme="minorHAnsi" w:cs="Calibri"/>
                <w:szCs w:val="22"/>
              </w:rPr>
              <w:t xml:space="preserve"> will be monitored by the</w:t>
            </w:r>
            <w:r>
              <w:rPr>
                <w:rFonts w:eastAsiaTheme="minorHAnsi" w:cs="Calibri"/>
                <w:szCs w:val="22"/>
              </w:rPr>
              <w:t xml:space="preserve"> Principal</w:t>
            </w:r>
          </w:p>
          <w:p w14:paraId="023EF325" w14:textId="77777777" w:rsidR="001E18AD" w:rsidRDefault="00715F92" w:rsidP="00715F92">
            <w:r>
              <w:rPr>
                <w:rFonts w:eastAsiaTheme="minorHAnsi" w:cs="Calibri"/>
                <w:szCs w:val="22"/>
              </w:rPr>
              <w:t>at staff meetings periodically throughout the school year</w:t>
            </w:r>
          </w:p>
        </w:tc>
      </w:tr>
      <w:tr w:rsidR="001E18AD" w14:paraId="6F003D6F" w14:textId="77777777" w:rsidTr="00DA667E">
        <w:tc>
          <w:tcPr>
            <w:tcW w:w="3690" w:type="dxa"/>
            <w:shd w:val="clear" w:color="auto" w:fill="DBE5F1" w:themeFill="accent1" w:themeFillTint="33"/>
          </w:tcPr>
          <w:p w14:paraId="30681395" w14:textId="77777777" w:rsidR="001E18AD" w:rsidRDefault="001E18AD" w:rsidP="00C77F36">
            <w:pPr>
              <w:spacing w:after="120"/>
              <w:rPr>
                <w:rFonts w:cs="Calibri"/>
              </w:rPr>
            </w:pPr>
            <w:r>
              <w:rPr>
                <w:rFonts w:cs="Calibri"/>
              </w:rPr>
              <w:t>Review process and date for review</w:t>
            </w:r>
          </w:p>
        </w:tc>
        <w:tc>
          <w:tcPr>
            <w:tcW w:w="6233" w:type="dxa"/>
            <w:gridSpan w:val="2"/>
          </w:tcPr>
          <w:p w14:paraId="23C3F6EC" w14:textId="77777777" w:rsidR="00662211" w:rsidRDefault="00845F86" w:rsidP="00C77F36">
            <w:pPr>
              <w:rPr>
                <w:rFonts w:eastAsiaTheme="minorHAnsi" w:cs="Calibri"/>
                <w:szCs w:val="22"/>
              </w:rPr>
            </w:pPr>
            <w:r>
              <w:rPr>
                <w:rFonts w:eastAsiaTheme="minorHAnsi" w:cs="Calibri"/>
                <w:szCs w:val="22"/>
              </w:rPr>
              <w:t>This policy will be reviewed on a whole school basis in:</w:t>
            </w:r>
          </w:p>
          <w:p w14:paraId="2FE493A0" w14:textId="58F5063C" w:rsidR="00662211" w:rsidRPr="00662211" w:rsidRDefault="00662211" w:rsidP="00C77F36">
            <w:pPr>
              <w:rPr>
                <w:rFonts w:eastAsiaTheme="minorHAnsi" w:cs="Calibri"/>
                <w:szCs w:val="22"/>
              </w:rPr>
            </w:pPr>
            <w:r>
              <w:rPr>
                <w:rFonts w:eastAsiaTheme="minorHAnsi" w:cs="Calibri"/>
                <w:szCs w:val="22"/>
              </w:rPr>
              <w:t>September 20</w:t>
            </w:r>
            <w:r w:rsidR="00040467">
              <w:rPr>
                <w:rFonts w:eastAsiaTheme="minorHAnsi" w:cs="Calibri"/>
                <w:szCs w:val="22"/>
              </w:rPr>
              <w:t>2</w:t>
            </w:r>
            <w:r w:rsidR="00285B49">
              <w:rPr>
                <w:rFonts w:eastAsiaTheme="minorHAnsi" w:cs="Calibri"/>
                <w:szCs w:val="22"/>
              </w:rPr>
              <w:t>4</w:t>
            </w:r>
          </w:p>
        </w:tc>
      </w:tr>
      <w:tr w:rsidR="001E18AD" w14:paraId="22A2E04A" w14:textId="77777777" w:rsidTr="00DA667E">
        <w:tc>
          <w:tcPr>
            <w:tcW w:w="3690" w:type="dxa"/>
            <w:shd w:val="clear" w:color="auto" w:fill="DBE5F1" w:themeFill="accent1" w:themeFillTint="33"/>
          </w:tcPr>
          <w:p w14:paraId="7741C322" w14:textId="77777777" w:rsidR="001E18AD" w:rsidRDefault="001E18AD" w:rsidP="00C77F36">
            <w:pPr>
              <w:spacing w:after="120"/>
              <w:rPr>
                <w:rFonts w:cs="Calibri"/>
              </w:rPr>
            </w:pPr>
            <w:r>
              <w:rPr>
                <w:rFonts w:cs="Calibri"/>
              </w:rPr>
              <w:t>Date the Statement of Strategy was approved by the Board of Management</w:t>
            </w:r>
          </w:p>
        </w:tc>
        <w:tc>
          <w:tcPr>
            <w:tcW w:w="6233" w:type="dxa"/>
            <w:gridSpan w:val="2"/>
          </w:tcPr>
          <w:p w14:paraId="30E7DA47" w14:textId="77777777" w:rsidR="001E18AD" w:rsidRDefault="001E18AD" w:rsidP="00C77F36"/>
          <w:p w14:paraId="49AD9110" w14:textId="7A315EE1" w:rsidR="00662211" w:rsidRDefault="00285B49" w:rsidP="00C77F36">
            <w:r>
              <w:t>Octo</w:t>
            </w:r>
            <w:r w:rsidR="00662211">
              <w:t>ber 20</w:t>
            </w:r>
            <w:r w:rsidR="00E26CBE">
              <w:t>2</w:t>
            </w:r>
            <w:r>
              <w:t>3</w:t>
            </w:r>
          </w:p>
        </w:tc>
      </w:tr>
      <w:tr w:rsidR="001E18AD" w14:paraId="3F43E427" w14:textId="77777777" w:rsidTr="00DA667E">
        <w:tc>
          <w:tcPr>
            <w:tcW w:w="3690" w:type="dxa"/>
            <w:shd w:val="clear" w:color="auto" w:fill="DBE5F1" w:themeFill="accent1" w:themeFillTint="33"/>
          </w:tcPr>
          <w:p w14:paraId="5D8349AD" w14:textId="5ECF7B75" w:rsidR="001E18AD" w:rsidRDefault="001E18AD" w:rsidP="00C77F36">
            <w:pPr>
              <w:spacing w:after="120"/>
              <w:rPr>
                <w:rFonts w:cs="Calibri"/>
              </w:rPr>
            </w:pPr>
            <w:r>
              <w:rPr>
                <w:rFonts w:cs="Calibri"/>
              </w:rPr>
              <w:t xml:space="preserve">Date the Statement of Strategy </w:t>
            </w:r>
            <w:r w:rsidR="00DA667E">
              <w:rPr>
                <w:rFonts w:cs="Calibri"/>
              </w:rPr>
              <w:t>was submitted</w:t>
            </w:r>
            <w:r>
              <w:rPr>
                <w:rFonts w:cs="Calibri"/>
              </w:rPr>
              <w:t xml:space="preserve"> to T</w:t>
            </w:r>
            <w:r w:rsidR="00040467">
              <w:rPr>
                <w:rFonts w:cs="Calibri"/>
              </w:rPr>
              <w:t>USLA</w:t>
            </w:r>
          </w:p>
        </w:tc>
        <w:tc>
          <w:tcPr>
            <w:tcW w:w="6233" w:type="dxa"/>
            <w:gridSpan w:val="2"/>
          </w:tcPr>
          <w:p w14:paraId="10AE670A" w14:textId="77777777" w:rsidR="00F72250" w:rsidRDefault="00F72250" w:rsidP="00C77F36"/>
          <w:p w14:paraId="0DB3A169" w14:textId="5A3A5C14" w:rsidR="00F72250" w:rsidRDefault="00285B49" w:rsidP="00C77F36">
            <w:r>
              <w:t>Octo</w:t>
            </w:r>
            <w:r w:rsidR="007E1423">
              <w:t>ber 202</w:t>
            </w:r>
            <w:r w:rsidR="00DD28C6">
              <w:t>3</w:t>
            </w:r>
          </w:p>
        </w:tc>
      </w:tr>
    </w:tbl>
    <w:p w14:paraId="2A94900D" w14:textId="77777777" w:rsidR="00304193" w:rsidRDefault="00304193" w:rsidP="006705BE"/>
    <w:sectPr w:rsidR="00304193" w:rsidSect="00A3753E">
      <w:footerReference w:type="default" r:id="rId8"/>
      <w:pgSz w:w="11906" w:h="16838"/>
      <w:pgMar w:top="25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A15E" w14:textId="77777777" w:rsidR="00F80198" w:rsidRDefault="00F80198" w:rsidP="00A3753E">
      <w:r>
        <w:separator/>
      </w:r>
    </w:p>
  </w:endnote>
  <w:endnote w:type="continuationSeparator" w:id="0">
    <w:p w14:paraId="161C91F8" w14:textId="77777777" w:rsidR="00F80198" w:rsidRDefault="00F80198" w:rsidP="00A3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7D49" w14:textId="77777777" w:rsidR="00A3753E" w:rsidRDefault="00A3753E" w:rsidP="00A3753E">
    <w:pPr>
      <w:pStyle w:val="Footer"/>
    </w:pPr>
    <w:r>
      <w:t>Signed: _______________________</w:t>
    </w:r>
    <w:r>
      <w:tab/>
    </w:r>
    <w:r>
      <w:tab/>
      <w:t>Date: _______________________</w:t>
    </w:r>
  </w:p>
  <w:p w14:paraId="5A9EAD20" w14:textId="77777777" w:rsidR="00A3753E" w:rsidRDefault="00A3753E">
    <w:pPr>
      <w:pStyle w:val="Footer"/>
    </w:pPr>
  </w:p>
  <w:p w14:paraId="7755EA40" w14:textId="0C8B6497" w:rsidR="00A3753E" w:rsidRDefault="00A3753E">
    <w:pPr>
      <w:pStyle w:val="Footer"/>
    </w:pPr>
    <w:r>
      <w:t>Signed: _______________________</w:t>
    </w:r>
    <w:r>
      <w:tab/>
    </w:r>
    <w:r>
      <w:tab/>
      <w:t>Date: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4F64" w14:textId="77777777" w:rsidR="00F80198" w:rsidRDefault="00F80198" w:rsidP="00A3753E">
      <w:r>
        <w:separator/>
      </w:r>
    </w:p>
  </w:footnote>
  <w:footnote w:type="continuationSeparator" w:id="0">
    <w:p w14:paraId="2E2DC3ED" w14:textId="77777777" w:rsidR="00F80198" w:rsidRDefault="00F80198" w:rsidP="00A3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6048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AD"/>
    <w:rsid w:val="00040467"/>
    <w:rsid w:val="000D7486"/>
    <w:rsid w:val="001461AB"/>
    <w:rsid w:val="001E18AD"/>
    <w:rsid w:val="001E45C6"/>
    <w:rsid w:val="001F36DF"/>
    <w:rsid w:val="00285B49"/>
    <w:rsid w:val="002B4FA9"/>
    <w:rsid w:val="00304193"/>
    <w:rsid w:val="00325D80"/>
    <w:rsid w:val="00327A7C"/>
    <w:rsid w:val="00344BEC"/>
    <w:rsid w:val="00503AB9"/>
    <w:rsid w:val="0056380D"/>
    <w:rsid w:val="00662211"/>
    <w:rsid w:val="006705BE"/>
    <w:rsid w:val="0070410B"/>
    <w:rsid w:val="00715F92"/>
    <w:rsid w:val="007B1BE2"/>
    <w:rsid w:val="007E1423"/>
    <w:rsid w:val="00832A17"/>
    <w:rsid w:val="00845F86"/>
    <w:rsid w:val="008F672A"/>
    <w:rsid w:val="00A3753E"/>
    <w:rsid w:val="00A84DAF"/>
    <w:rsid w:val="00B5229D"/>
    <w:rsid w:val="00C64C9C"/>
    <w:rsid w:val="00CD20F9"/>
    <w:rsid w:val="00DA667E"/>
    <w:rsid w:val="00DD28C6"/>
    <w:rsid w:val="00E20181"/>
    <w:rsid w:val="00E26CBE"/>
    <w:rsid w:val="00EE0C4B"/>
    <w:rsid w:val="00EF5989"/>
    <w:rsid w:val="00F72250"/>
    <w:rsid w:val="00F801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3FC8"/>
  <w15:docId w15:val="{680D8F94-A011-4AD7-BCDC-8EC6615D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paragraph" w:styleId="Header">
    <w:name w:val="header"/>
    <w:basedOn w:val="Normal"/>
    <w:link w:val="HeaderChar"/>
    <w:uiPriority w:val="99"/>
    <w:unhideWhenUsed/>
    <w:rsid w:val="00A3753E"/>
    <w:pPr>
      <w:tabs>
        <w:tab w:val="center" w:pos="4513"/>
        <w:tab w:val="right" w:pos="9026"/>
      </w:tabs>
    </w:pPr>
  </w:style>
  <w:style w:type="character" w:customStyle="1" w:styleId="HeaderChar">
    <w:name w:val="Header Char"/>
    <w:basedOn w:val="DefaultParagraphFont"/>
    <w:link w:val="Header"/>
    <w:uiPriority w:val="99"/>
    <w:rsid w:val="00A3753E"/>
    <w:rPr>
      <w:rFonts w:ascii="Calibri" w:eastAsia="Times New Roman" w:hAnsi="Calibri" w:cs="Times New Roman"/>
      <w:szCs w:val="24"/>
    </w:rPr>
  </w:style>
  <w:style w:type="paragraph" w:styleId="Footer">
    <w:name w:val="footer"/>
    <w:basedOn w:val="Normal"/>
    <w:link w:val="FooterChar"/>
    <w:uiPriority w:val="99"/>
    <w:unhideWhenUsed/>
    <w:rsid w:val="00A3753E"/>
    <w:pPr>
      <w:tabs>
        <w:tab w:val="center" w:pos="4513"/>
        <w:tab w:val="right" w:pos="9026"/>
      </w:tabs>
    </w:pPr>
  </w:style>
  <w:style w:type="character" w:customStyle="1" w:styleId="FooterChar">
    <w:name w:val="Footer Char"/>
    <w:basedOn w:val="DefaultParagraphFont"/>
    <w:link w:val="Footer"/>
    <w:uiPriority w:val="99"/>
    <w:rsid w:val="00A3753E"/>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Ciaran Hynes</cp:lastModifiedBy>
  <cp:revision>4</cp:revision>
  <cp:lastPrinted>2023-10-11T10:45:00Z</cp:lastPrinted>
  <dcterms:created xsi:type="dcterms:W3CDTF">2023-09-06T09:26:00Z</dcterms:created>
  <dcterms:modified xsi:type="dcterms:W3CDTF">2023-10-11T10:46:00Z</dcterms:modified>
</cp:coreProperties>
</file>